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6CCC" w14:textId="77777777" w:rsidR="00B5790C" w:rsidRDefault="00B5790C" w:rsidP="008846ED">
      <w:pPr>
        <w:pStyle w:val="ListParagraph"/>
        <w:numPr>
          <w:ilvl w:val="0"/>
          <w:numId w:val="1"/>
        </w:numPr>
        <w:tabs>
          <w:tab w:val="left" w:pos="567"/>
        </w:tabs>
        <w:kinsoku w:val="0"/>
        <w:overflowPunct w:val="0"/>
        <w:spacing w:before="240"/>
        <w:ind w:left="567" w:hanging="567"/>
        <w:jc w:val="both"/>
        <w:rPr>
          <w:sz w:val="22"/>
          <w:szCs w:val="22"/>
        </w:rPr>
      </w:pPr>
      <w:r>
        <w:rPr>
          <w:sz w:val="22"/>
          <w:szCs w:val="22"/>
        </w:rPr>
        <w:t>In 2002, the Brisbane Housing Company Limited (BHC) was established as a not-for-profit charitable</w:t>
      </w:r>
      <w:r>
        <w:rPr>
          <w:spacing w:val="-19"/>
          <w:sz w:val="22"/>
          <w:szCs w:val="22"/>
        </w:rPr>
        <w:t xml:space="preserve"> </w:t>
      </w:r>
      <w:r>
        <w:rPr>
          <w:sz w:val="22"/>
          <w:szCs w:val="22"/>
        </w:rPr>
        <w:t>company</w:t>
      </w:r>
      <w:r>
        <w:rPr>
          <w:spacing w:val="-19"/>
          <w:sz w:val="22"/>
          <w:szCs w:val="22"/>
        </w:rPr>
        <w:t xml:space="preserve"> </w:t>
      </w:r>
      <w:r>
        <w:rPr>
          <w:sz w:val="22"/>
          <w:szCs w:val="22"/>
        </w:rPr>
        <w:t>under</w:t>
      </w:r>
      <w:r>
        <w:rPr>
          <w:spacing w:val="-16"/>
          <w:sz w:val="22"/>
          <w:szCs w:val="22"/>
        </w:rPr>
        <w:t xml:space="preserve"> </w:t>
      </w:r>
      <w:r>
        <w:rPr>
          <w:sz w:val="22"/>
          <w:szCs w:val="22"/>
        </w:rPr>
        <w:t>a</w:t>
      </w:r>
      <w:r>
        <w:rPr>
          <w:spacing w:val="-19"/>
          <w:sz w:val="22"/>
          <w:szCs w:val="22"/>
        </w:rPr>
        <w:t xml:space="preserve"> </w:t>
      </w:r>
      <w:r>
        <w:rPr>
          <w:sz w:val="22"/>
          <w:szCs w:val="22"/>
        </w:rPr>
        <w:t>partnership</w:t>
      </w:r>
      <w:r>
        <w:rPr>
          <w:spacing w:val="-17"/>
          <w:sz w:val="22"/>
          <w:szCs w:val="22"/>
        </w:rPr>
        <w:t xml:space="preserve"> </w:t>
      </w:r>
      <w:r>
        <w:rPr>
          <w:sz w:val="22"/>
          <w:szCs w:val="22"/>
        </w:rPr>
        <w:t>between</w:t>
      </w:r>
      <w:r>
        <w:rPr>
          <w:spacing w:val="-17"/>
          <w:sz w:val="22"/>
          <w:szCs w:val="22"/>
        </w:rPr>
        <w:t xml:space="preserve"> </w:t>
      </w:r>
      <w:r>
        <w:rPr>
          <w:sz w:val="22"/>
          <w:szCs w:val="22"/>
        </w:rPr>
        <w:t>the</w:t>
      </w:r>
      <w:r>
        <w:rPr>
          <w:spacing w:val="-19"/>
          <w:sz w:val="22"/>
          <w:szCs w:val="22"/>
        </w:rPr>
        <w:t xml:space="preserve"> </w:t>
      </w:r>
      <w:r>
        <w:rPr>
          <w:sz w:val="22"/>
          <w:szCs w:val="22"/>
        </w:rPr>
        <w:t>Queensland</w:t>
      </w:r>
      <w:r>
        <w:rPr>
          <w:spacing w:val="-19"/>
          <w:sz w:val="22"/>
          <w:szCs w:val="22"/>
        </w:rPr>
        <w:t xml:space="preserve"> </w:t>
      </w:r>
      <w:r>
        <w:rPr>
          <w:sz w:val="22"/>
          <w:szCs w:val="22"/>
        </w:rPr>
        <w:t>Government</w:t>
      </w:r>
      <w:r>
        <w:rPr>
          <w:spacing w:val="-16"/>
          <w:sz w:val="22"/>
          <w:szCs w:val="22"/>
        </w:rPr>
        <w:t xml:space="preserve"> </w:t>
      </w:r>
      <w:r>
        <w:rPr>
          <w:sz w:val="22"/>
          <w:szCs w:val="22"/>
        </w:rPr>
        <w:t>and</w:t>
      </w:r>
      <w:r>
        <w:rPr>
          <w:spacing w:val="-22"/>
          <w:sz w:val="22"/>
          <w:szCs w:val="22"/>
        </w:rPr>
        <w:t xml:space="preserve"> </w:t>
      </w:r>
      <w:r>
        <w:rPr>
          <w:sz w:val="22"/>
          <w:szCs w:val="22"/>
        </w:rPr>
        <w:t>the</w:t>
      </w:r>
      <w:r>
        <w:rPr>
          <w:spacing w:val="-19"/>
          <w:sz w:val="22"/>
          <w:szCs w:val="22"/>
        </w:rPr>
        <w:t xml:space="preserve"> </w:t>
      </w:r>
      <w:r>
        <w:rPr>
          <w:sz w:val="22"/>
          <w:szCs w:val="22"/>
        </w:rPr>
        <w:t>Brisbane City Council (the</w:t>
      </w:r>
      <w:r>
        <w:rPr>
          <w:spacing w:val="-22"/>
          <w:sz w:val="22"/>
          <w:szCs w:val="22"/>
        </w:rPr>
        <w:t xml:space="preserve"> </w:t>
      </w:r>
      <w:r>
        <w:rPr>
          <w:sz w:val="22"/>
          <w:szCs w:val="22"/>
        </w:rPr>
        <w:t>Council).</w:t>
      </w:r>
    </w:p>
    <w:p w14:paraId="3827BA76" w14:textId="77777777" w:rsidR="00B5790C" w:rsidRDefault="00B5790C" w:rsidP="008846ED">
      <w:pPr>
        <w:pStyle w:val="ListParagraph"/>
        <w:numPr>
          <w:ilvl w:val="0"/>
          <w:numId w:val="1"/>
        </w:numPr>
        <w:tabs>
          <w:tab w:val="left" w:pos="567"/>
        </w:tabs>
        <w:kinsoku w:val="0"/>
        <w:overflowPunct w:val="0"/>
        <w:spacing w:before="240"/>
        <w:ind w:left="567" w:hanging="567"/>
        <w:jc w:val="both"/>
        <w:rPr>
          <w:sz w:val="22"/>
          <w:szCs w:val="22"/>
        </w:rPr>
      </w:pPr>
      <w:r>
        <w:rPr>
          <w:sz w:val="22"/>
          <w:szCs w:val="22"/>
        </w:rPr>
        <w:t>BHC is an independent public company limited by shares. BHC has two types of shareholding; Ordinary Shares and Community Shares. The Ordinary Shareholders are the State, acting through</w:t>
      </w:r>
      <w:r>
        <w:rPr>
          <w:spacing w:val="-14"/>
          <w:sz w:val="22"/>
          <w:szCs w:val="22"/>
        </w:rPr>
        <w:t xml:space="preserve"> </w:t>
      </w:r>
      <w:r>
        <w:rPr>
          <w:sz w:val="22"/>
          <w:szCs w:val="22"/>
        </w:rPr>
        <w:t>the</w:t>
      </w:r>
      <w:r>
        <w:rPr>
          <w:spacing w:val="-11"/>
          <w:sz w:val="22"/>
          <w:szCs w:val="22"/>
        </w:rPr>
        <w:t xml:space="preserve"> </w:t>
      </w:r>
      <w:r>
        <w:rPr>
          <w:sz w:val="22"/>
          <w:szCs w:val="22"/>
        </w:rPr>
        <w:t>Department</w:t>
      </w:r>
      <w:r>
        <w:rPr>
          <w:spacing w:val="-15"/>
          <w:sz w:val="22"/>
          <w:szCs w:val="22"/>
        </w:rPr>
        <w:t xml:space="preserve"> </w:t>
      </w:r>
      <w:r>
        <w:rPr>
          <w:sz w:val="22"/>
          <w:szCs w:val="22"/>
        </w:rPr>
        <w:t>of</w:t>
      </w:r>
      <w:r>
        <w:rPr>
          <w:spacing w:val="-7"/>
          <w:sz w:val="22"/>
          <w:szCs w:val="22"/>
        </w:rPr>
        <w:t xml:space="preserve"> </w:t>
      </w:r>
      <w:r>
        <w:rPr>
          <w:sz w:val="22"/>
          <w:szCs w:val="22"/>
        </w:rPr>
        <w:t>Housing</w:t>
      </w:r>
      <w:r>
        <w:rPr>
          <w:spacing w:val="-9"/>
          <w:sz w:val="22"/>
          <w:szCs w:val="22"/>
        </w:rPr>
        <w:t xml:space="preserve"> </w:t>
      </w:r>
      <w:r>
        <w:rPr>
          <w:sz w:val="22"/>
          <w:szCs w:val="22"/>
        </w:rPr>
        <w:t>and</w:t>
      </w:r>
      <w:r>
        <w:rPr>
          <w:spacing w:val="-11"/>
          <w:sz w:val="22"/>
          <w:szCs w:val="22"/>
        </w:rPr>
        <w:t xml:space="preserve"> </w:t>
      </w:r>
      <w:r>
        <w:rPr>
          <w:sz w:val="22"/>
          <w:szCs w:val="22"/>
        </w:rPr>
        <w:t>Public</w:t>
      </w:r>
      <w:r>
        <w:rPr>
          <w:spacing w:val="-17"/>
          <w:sz w:val="22"/>
          <w:szCs w:val="22"/>
        </w:rPr>
        <w:t xml:space="preserve"> </w:t>
      </w:r>
      <w:r>
        <w:rPr>
          <w:sz w:val="22"/>
          <w:szCs w:val="22"/>
        </w:rPr>
        <w:t>Works</w:t>
      </w:r>
      <w:r>
        <w:rPr>
          <w:spacing w:val="-13"/>
          <w:sz w:val="22"/>
          <w:szCs w:val="22"/>
        </w:rPr>
        <w:t xml:space="preserve"> </w:t>
      </w:r>
      <w:r>
        <w:rPr>
          <w:sz w:val="22"/>
          <w:szCs w:val="22"/>
        </w:rPr>
        <w:t>(DHPW)</w:t>
      </w:r>
      <w:r>
        <w:rPr>
          <w:spacing w:val="-12"/>
          <w:sz w:val="22"/>
          <w:szCs w:val="22"/>
        </w:rPr>
        <w:t xml:space="preserve"> </w:t>
      </w:r>
      <w:r>
        <w:rPr>
          <w:sz w:val="22"/>
          <w:szCs w:val="22"/>
        </w:rPr>
        <w:t>and</w:t>
      </w:r>
      <w:r>
        <w:rPr>
          <w:spacing w:val="-14"/>
          <w:sz w:val="22"/>
          <w:szCs w:val="22"/>
        </w:rPr>
        <w:t xml:space="preserve"> </w:t>
      </w:r>
      <w:r>
        <w:rPr>
          <w:sz w:val="22"/>
          <w:szCs w:val="22"/>
        </w:rPr>
        <w:t>the</w:t>
      </w:r>
      <w:r>
        <w:rPr>
          <w:spacing w:val="-14"/>
          <w:sz w:val="22"/>
          <w:szCs w:val="22"/>
        </w:rPr>
        <w:t xml:space="preserve"> </w:t>
      </w:r>
      <w:r>
        <w:rPr>
          <w:sz w:val="22"/>
          <w:szCs w:val="22"/>
        </w:rPr>
        <w:t>Council.</w:t>
      </w:r>
      <w:r>
        <w:rPr>
          <w:spacing w:val="-10"/>
          <w:sz w:val="22"/>
          <w:szCs w:val="22"/>
        </w:rPr>
        <w:t xml:space="preserve"> </w:t>
      </w:r>
      <w:r>
        <w:rPr>
          <w:sz w:val="22"/>
          <w:szCs w:val="22"/>
        </w:rPr>
        <w:t>The</w:t>
      </w:r>
      <w:r>
        <w:rPr>
          <w:spacing w:val="-14"/>
          <w:sz w:val="22"/>
          <w:szCs w:val="22"/>
        </w:rPr>
        <w:t xml:space="preserve"> </w:t>
      </w:r>
      <w:r>
        <w:rPr>
          <w:sz w:val="22"/>
          <w:szCs w:val="22"/>
        </w:rPr>
        <w:t>State</w:t>
      </w:r>
      <w:r>
        <w:rPr>
          <w:spacing w:val="-11"/>
          <w:sz w:val="22"/>
          <w:szCs w:val="22"/>
        </w:rPr>
        <w:t xml:space="preserve"> </w:t>
      </w:r>
      <w:r>
        <w:rPr>
          <w:sz w:val="22"/>
          <w:szCs w:val="22"/>
        </w:rPr>
        <w:t>holds two</w:t>
      </w:r>
      <w:r>
        <w:rPr>
          <w:spacing w:val="-2"/>
          <w:sz w:val="22"/>
          <w:szCs w:val="22"/>
        </w:rPr>
        <w:t xml:space="preserve"> </w:t>
      </w:r>
      <w:r>
        <w:rPr>
          <w:sz w:val="22"/>
          <w:szCs w:val="22"/>
        </w:rPr>
        <w:t>Ordinary</w:t>
      </w:r>
      <w:r>
        <w:rPr>
          <w:spacing w:val="-4"/>
          <w:sz w:val="22"/>
          <w:szCs w:val="22"/>
        </w:rPr>
        <w:t xml:space="preserve"> </w:t>
      </w:r>
      <w:r>
        <w:rPr>
          <w:sz w:val="22"/>
          <w:szCs w:val="22"/>
        </w:rPr>
        <w:t>Shares</w:t>
      </w:r>
      <w:r>
        <w:rPr>
          <w:spacing w:val="-4"/>
          <w:sz w:val="22"/>
          <w:szCs w:val="22"/>
        </w:rPr>
        <w:t xml:space="preserve"> </w:t>
      </w:r>
      <w:r>
        <w:rPr>
          <w:sz w:val="22"/>
          <w:szCs w:val="22"/>
        </w:rPr>
        <w:t>and</w:t>
      </w:r>
      <w:r>
        <w:rPr>
          <w:spacing w:val="-4"/>
          <w:sz w:val="22"/>
          <w:szCs w:val="22"/>
        </w:rPr>
        <w:t xml:space="preserve"> </w:t>
      </w:r>
      <w:r>
        <w:rPr>
          <w:sz w:val="22"/>
          <w:szCs w:val="22"/>
        </w:rPr>
        <w:t>the</w:t>
      </w:r>
      <w:r>
        <w:rPr>
          <w:spacing w:val="-4"/>
          <w:sz w:val="22"/>
          <w:szCs w:val="22"/>
        </w:rPr>
        <w:t xml:space="preserve"> </w:t>
      </w:r>
      <w:r>
        <w:rPr>
          <w:sz w:val="22"/>
          <w:szCs w:val="22"/>
        </w:rPr>
        <w:t>Council</w:t>
      </w:r>
      <w:r>
        <w:rPr>
          <w:spacing w:val="-2"/>
          <w:sz w:val="22"/>
          <w:szCs w:val="22"/>
        </w:rPr>
        <w:t xml:space="preserve"> </w:t>
      </w:r>
      <w:r>
        <w:rPr>
          <w:sz w:val="22"/>
          <w:szCs w:val="22"/>
        </w:rPr>
        <w:t>holds</w:t>
      </w:r>
      <w:r>
        <w:rPr>
          <w:spacing w:val="-1"/>
          <w:sz w:val="22"/>
          <w:szCs w:val="22"/>
        </w:rPr>
        <w:t xml:space="preserve"> </w:t>
      </w:r>
      <w:r>
        <w:rPr>
          <w:sz w:val="22"/>
          <w:szCs w:val="22"/>
        </w:rPr>
        <w:t>one</w:t>
      </w:r>
      <w:r>
        <w:rPr>
          <w:spacing w:val="-4"/>
          <w:sz w:val="22"/>
          <w:szCs w:val="22"/>
        </w:rPr>
        <w:t xml:space="preserve"> </w:t>
      </w:r>
      <w:r>
        <w:rPr>
          <w:sz w:val="22"/>
          <w:szCs w:val="22"/>
        </w:rPr>
        <w:t>Ordinary</w:t>
      </w:r>
      <w:r>
        <w:rPr>
          <w:spacing w:val="-37"/>
          <w:sz w:val="22"/>
          <w:szCs w:val="22"/>
        </w:rPr>
        <w:t xml:space="preserve"> </w:t>
      </w:r>
      <w:r>
        <w:rPr>
          <w:sz w:val="22"/>
          <w:szCs w:val="22"/>
        </w:rPr>
        <w:t>Share.</w:t>
      </w:r>
    </w:p>
    <w:p w14:paraId="2F2BE0D7" w14:textId="77777777" w:rsidR="00B5790C" w:rsidRDefault="00B5790C" w:rsidP="008846ED">
      <w:pPr>
        <w:pStyle w:val="ListParagraph"/>
        <w:numPr>
          <w:ilvl w:val="0"/>
          <w:numId w:val="1"/>
        </w:numPr>
        <w:tabs>
          <w:tab w:val="left" w:pos="567"/>
        </w:tabs>
        <w:kinsoku w:val="0"/>
        <w:overflowPunct w:val="0"/>
        <w:spacing w:before="240"/>
        <w:ind w:left="567" w:hanging="567"/>
        <w:jc w:val="both"/>
        <w:rPr>
          <w:sz w:val="22"/>
          <w:szCs w:val="22"/>
        </w:rPr>
      </w:pPr>
      <w:r>
        <w:rPr>
          <w:sz w:val="22"/>
          <w:szCs w:val="22"/>
        </w:rPr>
        <w:t>In</w:t>
      </w:r>
      <w:r>
        <w:rPr>
          <w:spacing w:val="-14"/>
          <w:sz w:val="22"/>
          <w:szCs w:val="22"/>
        </w:rPr>
        <w:t xml:space="preserve"> </w:t>
      </w:r>
      <w:r>
        <w:rPr>
          <w:sz w:val="22"/>
          <w:szCs w:val="22"/>
        </w:rPr>
        <w:t>accordance</w:t>
      </w:r>
      <w:r>
        <w:rPr>
          <w:spacing w:val="-14"/>
          <w:sz w:val="22"/>
          <w:szCs w:val="22"/>
        </w:rPr>
        <w:t xml:space="preserve"> </w:t>
      </w:r>
      <w:r>
        <w:rPr>
          <w:sz w:val="22"/>
          <w:szCs w:val="22"/>
        </w:rPr>
        <w:t>with</w:t>
      </w:r>
      <w:r>
        <w:rPr>
          <w:spacing w:val="-14"/>
          <w:sz w:val="22"/>
          <w:szCs w:val="22"/>
        </w:rPr>
        <w:t xml:space="preserve"> </w:t>
      </w:r>
      <w:r>
        <w:rPr>
          <w:sz w:val="22"/>
          <w:szCs w:val="22"/>
        </w:rPr>
        <w:t>the</w:t>
      </w:r>
      <w:r>
        <w:rPr>
          <w:spacing w:val="-14"/>
          <w:sz w:val="22"/>
          <w:szCs w:val="22"/>
        </w:rPr>
        <w:t xml:space="preserve"> </w:t>
      </w:r>
      <w:r>
        <w:rPr>
          <w:sz w:val="22"/>
          <w:szCs w:val="22"/>
        </w:rPr>
        <w:t>Shareholders’</w:t>
      </w:r>
      <w:r>
        <w:rPr>
          <w:spacing w:val="-14"/>
          <w:sz w:val="22"/>
          <w:szCs w:val="22"/>
        </w:rPr>
        <w:t xml:space="preserve"> </w:t>
      </w:r>
      <w:r>
        <w:rPr>
          <w:sz w:val="22"/>
          <w:szCs w:val="22"/>
        </w:rPr>
        <w:t>Agreement,</w:t>
      </w:r>
      <w:r>
        <w:rPr>
          <w:spacing w:val="-15"/>
          <w:sz w:val="22"/>
          <w:szCs w:val="22"/>
        </w:rPr>
        <w:t xml:space="preserve"> </w:t>
      </w:r>
      <w:r>
        <w:rPr>
          <w:sz w:val="22"/>
          <w:szCs w:val="22"/>
        </w:rPr>
        <w:t>the</w:t>
      </w:r>
      <w:r>
        <w:rPr>
          <w:spacing w:val="-14"/>
          <w:sz w:val="22"/>
          <w:szCs w:val="22"/>
        </w:rPr>
        <w:t xml:space="preserve"> </w:t>
      </w:r>
      <w:r>
        <w:rPr>
          <w:sz w:val="22"/>
          <w:szCs w:val="22"/>
        </w:rPr>
        <w:t>Chair</w:t>
      </w:r>
      <w:r>
        <w:rPr>
          <w:spacing w:val="-12"/>
          <w:sz w:val="22"/>
          <w:szCs w:val="22"/>
        </w:rPr>
        <w:t xml:space="preserve"> </w:t>
      </w:r>
      <w:r>
        <w:rPr>
          <w:sz w:val="22"/>
          <w:szCs w:val="22"/>
        </w:rPr>
        <w:t>of</w:t>
      </w:r>
      <w:r>
        <w:rPr>
          <w:spacing w:val="-12"/>
          <w:sz w:val="22"/>
          <w:szCs w:val="22"/>
        </w:rPr>
        <w:t xml:space="preserve"> </w:t>
      </w:r>
      <w:r>
        <w:rPr>
          <w:sz w:val="22"/>
          <w:szCs w:val="22"/>
        </w:rPr>
        <w:t>the</w:t>
      </w:r>
      <w:r>
        <w:rPr>
          <w:spacing w:val="-14"/>
          <w:sz w:val="22"/>
          <w:szCs w:val="22"/>
        </w:rPr>
        <w:t xml:space="preserve"> </w:t>
      </w:r>
      <w:r>
        <w:rPr>
          <w:sz w:val="22"/>
          <w:szCs w:val="22"/>
        </w:rPr>
        <w:t>BHC</w:t>
      </w:r>
      <w:r>
        <w:rPr>
          <w:spacing w:val="-14"/>
          <w:sz w:val="22"/>
          <w:szCs w:val="22"/>
        </w:rPr>
        <w:t xml:space="preserve"> </w:t>
      </w:r>
      <w:r>
        <w:rPr>
          <w:sz w:val="22"/>
          <w:szCs w:val="22"/>
        </w:rPr>
        <w:t>Board</w:t>
      </w:r>
      <w:r>
        <w:rPr>
          <w:spacing w:val="-14"/>
          <w:sz w:val="22"/>
          <w:szCs w:val="22"/>
        </w:rPr>
        <w:t xml:space="preserve"> </w:t>
      </w:r>
      <w:r>
        <w:rPr>
          <w:sz w:val="22"/>
          <w:szCs w:val="22"/>
        </w:rPr>
        <w:t>may</w:t>
      </w:r>
      <w:r>
        <w:rPr>
          <w:spacing w:val="-16"/>
          <w:sz w:val="22"/>
          <w:szCs w:val="22"/>
        </w:rPr>
        <w:t xml:space="preserve"> </w:t>
      </w:r>
      <w:r>
        <w:rPr>
          <w:sz w:val="22"/>
          <w:szCs w:val="22"/>
        </w:rPr>
        <w:t>be</w:t>
      </w:r>
      <w:r>
        <w:rPr>
          <w:spacing w:val="-14"/>
          <w:sz w:val="22"/>
          <w:szCs w:val="22"/>
        </w:rPr>
        <w:t xml:space="preserve"> </w:t>
      </w:r>
      <w:r>
        <w:rPr>
          <w:sz w:val="22"/>
          <w:szCs w:val="22"/>
        </w:rPr>
        <w:t>appointed for a term not exceeding three</w:t>
      </w:r>
      <w:r>
        <w:rPr>
          <w:spacing w:val="-13"/>
          <w:sz w:val="22"/>
          <w:szCs w:val="22"/>
        </w:rPr>
        <w:t xml:space="preserve"> </w:t>
      </w:r>
      <w:r>
        <w:rPr>
          <w:sz w:val="22"/>
          <w:szCs w:val="22"/>
        </w:rPr>
        <w:t>years.</w:t>
      </w:r>
    </w:p>
    <w:p w14:paraId="37FD6D31" w14:textId="77777777" w:rsidR="00B5790C" w:rsidRDefault="00B5790C" w:rsidP="008846ED">
      <w:pPr>
        <w:pStyle w:val="ListParagraph"/>
        <w:numPr>
          <w:ilvl w:val="0"/>
          <w:numId w:val="1"/>
        </w:numPr>
        <w:tabs>
          <w:tab w:val="left" w:pos="567"/>
        </w:tabs>
        <w:kinsoku w:val="0"/>
        <w:overflowPunct w:val="0"/>
        <w:spacing w:before="240"/>
        <w:ind w:left="567" w:hanging="567"/>
        <w:jc w:val="both"/>
        <w:rPr>
          <w:sz w:val="22"/>
          <w:szCs w:val="22"/>
        </w:rPr>
      </w:pPr>
      <w:r>
        <w:rPr>
          <w:sz w:val="22"/>
          <w:szCs w:val="22"/>
        </w:rPr>
        <w:t xml:space="preserve">The Shareholders’ Agreement sets out the profile for a Director nominee for the BHC Board which includes the Director having an understanding of and commitment to promote affordable housing and BHC’s objects under the constitution. Directors are further required to have knowledge and understanding of the obligations of Directors under the </w:t>
      </w:r>
      <w:r>
        <w:rPr>
          <w:i/>
          <w:iCs/>
          <w:sz w:val="22"/>
          <w:szCs w:val="22"/>
        </w:rPr>
        <w:t xml:space="preserve">Corporation Act 2001 </w:t>
      </w:r>
      <w:r>
        <w:rPr>
          <w:sz w:val="22"/>
          <w:szCs w:val="22"/>
        </w:rPr>
        <w:t>and other relevant legislation and expertise relevant to finance or social housing management, preferably in at least one of the following areas of</w:t>
      </w:r>
      <w:r>
        <w:rPr>
          <w:spacing w:val="-25"/>
          <w:sz w:val="22"/>
          <w:szCs w:val="22"/>
        </w:rPr>
        <w:t xml:space="preserve"> </w:t>
      </w:r>
      <w:r>
        <w:rPr>
          <w:sz w:val="22"/>
          <w:szCs w:val="22"/>
        </w:rPr>
        <w:t>expertise:</w:t>
      </w:r>
    </w:p>
    <w:p w14:paraId="5209D4B3"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community</w:t>
      </w:r>
      <w:r>
        <w:rPr>
          <w:spacing w:val="-8"/>
          <w:sz w:val="22"/>
          <w:szCs w:val="22"/>
        </w:rPr>
        <w:t xml:space="preserve"> </w:t>
      </w:r>
      <w:r>
        <w:rPr>
          <w:sz w:val="22"/>
          <w:szCs w:val="22"/>
        </w:rPr>
        <w:t>welfare;</w:t>
      </w:r>
    </w:p>
    <w:p w14:paraId="5E31B702"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housing development and</w:t>
      </w:r>
      <w:r>
        <w:rPr>
          <w:spacing w:val="-14"/>
          <w:sz w:val="22"/>
          <w:szCs w:val="22"/>
        </w:rPr>
        <w:t xml:space="preserve"> </w:t>
      </w:r>
      <w:r>
        <w:rPr>
          <w:sz w:val="22"/>
          <w:szCs w:val="22"/>
        </w:rPr>
        <w:t>procurement;</w:t>
      </w:r>
    </w:p>
    <w:p w14:paraId="3446BBB7"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law;</w:t>
      </w:r>
    </w:p>
    <w:p w14:paraId="189C3C37"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social policy and</w:t>
      </w:r>
      <w:r>
        <w:rPr>
          <w:spacing w:val="-12"/>
          <w:sz w:val="22"/>
          <w:szCs w:val="22"/>
        </w:rPr>
        <w:t xml:space="preserve"> </w:t>
      </w:r>
      <w:r>
        <w:rPr>
          <w:sz w:val="22"/>
          <w:szCs w:val="22"/>
        </w:rPr>
        <w:t>development;</w:t>
      </w:r>
    </w:p>
    <w:p w14:paraId="3CBED090"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accounting;</w:t>
      </w:r>
    </w:p>
    <w:p w14:paraId="7F540232"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asset management;</w:t>
      </w:r>
      <w:r>
        <w:rPr>
          <w:spacing w:val="-7"/>
          <w:sz w:val="22"/>
          <w:szCs w:val="22"/>
        </w:rPr>
        <w:t xml:space="preserve"> </w:t>
      </w:r>
      <w:r>
        <w:rPr>
          <w:sz w:val="22"/>
          <w:szCs w:val="22"/>
        </w:rPr>
        <w:t>and</w:t>
      </w:r>
    </w:p>
    <w:p w14:paraId="54E528DB"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human resource management or</w:t>
      </w:r>
      <w:r>
        <w:rPr>
          <w:spacing w:val="-18"/>
          <w:sz w:val="22"/>
          <w:szCs w:val="22"/>
        </w:rPr>
        <w:t xml:space="preserve"> </w:t>
      </w:r>
      <w:r>
        <w:rPr>
          <w:sz w:val="22"/>
          <w:szCs w:val="22"/>
        </w:rPr>
        <w:t>personnel.</w:t>
      </w:r>
    </w:p>
    <w:p w14:paraId="719D954F" w14:textId="1C2B2CF1" w:rsidR="00B5790C" w:rsidRDefault="00B5790C" w:rsidP="008846ED">
      <w:pPr>
        <w:pStyle w:val="ListParagraph"/>
        <w:numPr>
          <w:ilvl w:val="0"/>
          <w:numId w:val="1"/>
        </w:numPr>
        <w:tabs>
          <w:tab w:val="left" w:pos="567"/>
        </w:tabs>
        <w:kinsoku w:val="0"/>
        <w:overflowPunct w:val="0"/>
        <w:spacing w:before="240"/>
        <w:ind w:left="567" w:hanging="567"/>
        <w:jc w:val="both"/>
        <w:rPr>
          <w:sz w:val="22"/>
          <w:szCs w:val="22"/>
        </w:rPr>
      </w:pPr>
      <w:r>
        <w:rPr>
          <w:sz w:val="22"/>
          <w:szCs w:val="22"/>
          <w:u w:val="single"/>
        </w:rPr>
        <w:t>Cabinet noted</w:t>
      </w:r>
      <w:r w:rsidRPr="00317321">
        <w:rPr>
          <w:sz w:val="22"/>
          <w:szCs w:val="22"/>
        </w:rPr>
        <w:t xml:space="preserve"> </w:t>
      </w:r>
      <w:r>
        <w:rPr>
          <w:sz w:val="22"/>
          <w:szCs w:val="22"/>
        </w:rPr>
        <w:t>the intention of the Minister for Housing and Public Works, Minister for Digital Technology and Minister for Sport as the representative of the State to reappoint Ms Eloise Atkinson as the Independent Chair and Mr John Gallimore and Ms Stacey Ross as State- appointed</w:t>
      </w:r>
      <w:r>
        <w:rPr>
          <w:spacing w:val="-5"/>
          <w:sz w:val="22"/>
          <w:szCs w:val="22"/>
        </w:rPr>
        <w:t xml:space="preserve"> </w:t>
      </w:r>
      <w:r>
        <w:rPr>
          <w:sz w:val="22"/>
          <w:szCs w:val="22"/>
        </w:rPr>
        <w:t>Directors</w:t>
      </w:r>
      <w:r>
        <w:rPr>
          <w:spacing w:val="-9"/>
          <w:sz w:val="22"/>
          <w:szCs w:val="22"/>
        </w:rPr>
        <w:t xml:space="preserve"> </w:t>
      </w:r>
      <w:r>
        <w:rPr>
          <w:sz w:val="22"/>
          <w:szCs w:val="22"/>
        </w:rPr>
        <w:t>to</w:t>
      </w:r>
      <w:r>
        <w:rPr>
          <w:spacing w:val="-7"/>
          <w:sz w:val="22"/>
          <w:szCs w:val="22"/>
        </w:rPr>
        <w:t xml:space="preserve"> </w:t>
      </w:r>
      <w:r>
        <w:rPr>
          <w:sz w:val="22"/>
          <w:szCs w:val="22"/>
        </w:rPr>
        <w:t>the</w:t>
      </w:r>
      <w:r>
        <w:rPr>
          <w:spacing w:val="-5"/>
          <w:sz w:val="22"/>
          <w:szCs w:val="22"/>
        </w:rPr>
        <w:t xml:space="preserve"> </w:t>
      </w:r>
      <w:r>
        <w:rPr>
          <w:sz w:val="22"/>
          <w:szCs w:val="22"/>
        </w:rPr>
        <w:t>Board</w:t>
      </w:r>
      <w:r>
        <w:rPr>
          <w:spacing w:val="-9"/>
          <w:sz w:val="22"/>
          <w:szCs w:val="22"/>
        </w:rPr>
        <w:t xml:space="preserve"> </w:t>
      </w:r>
      <w:r>
        <w:rPr>
          <w:spacing w:val="-3"/>
          <w:sz w:val="22"/>
          <w:szCs w:val="22"/>
        </w:rPr>
        <w:t>of</w:t>
      </w:r>
      <w:r>
        <w:rPr>
          <w:spacing w:val="-9"/>
          <w:sz w:val="22"/>
          <w:szCs w:val="22"/>
        </w:rPr>
        <w:t xml:space="preserve"> </w:t>
      </w:r>
      <w:r>
        <w:rPr>
          <w:sz w:val="22"/>
          <w:szCs w:val="22"/>
        </w:rPr>
        <w:t>Brisbane</w:t>
      </w:r>
      <w:r>
        <w:rPr>
          <w:spacing w:val="-7"/>
          <w:sz w:val="22"/>
          <w:szCs w:val="22"/>
        </w:rPr>
        <w:t xml:space="preserve"> </w:t>
      </w:r>
      <w:r>
        <w:rPr>
          <w:sz w:val="22"/>
          <w:szCs w:val="22"/>
        </w:rPr>
        <w:t>Housing</w:t>
      </w:r>
      <w:r>
        <w:rPr>
          <w:spacing w:val="-5"/>
          <w:sz w:val="22"/>
          <w:szCs w:val="22"/>
        </w:rPr>
        <w:t xml:space="preserve"> </w:t>
      </w:r>
      <w:r>
        <w:rPr>
          <w:sz w:val="22"/>
          <w:szCs w:val="22"/>
        </w:rPr>
        <w:t>Company</w:t>
      </w:r>
      <w:r>
        <w:rPr>
          <w:spacing w:val="-10"/>
          <w:sz w:val="22"/>
          <w:szCs w:val="22"/>
        </w:rPr>
        <w:t xml:space="preserve"> </w:t>
      </w:r>
      <w:r>
        <w:rPr>
          <w:sz w:val="22"/>
          <w:szCs w:val="22"/>
        </w:rPr>
        <w:t>Limited</w:t>
      </w:r>
      <w:r>
        <w:rPr>
          <w:spacing w:val="-9"/>
          <w:sz w:val="22"/>
          <w:szCs w:val="22"/>
        </w:rPr>
        <w:t xml:space="preserve"> </w:t>
      </w:r>
      <w:r>
        <w:rPr>
          <w:sz w:val="22"/>
          <w:szCs w:val="22"/>
        </w:rPr>
        <w:t>from</w:t>
      </w:r>
      <w:r>
        <w:rPr>
          <w:spacing w:val="-6"/>
          <w:sz w:val="22"/>
          <w:szCs w:val="22"/>
        </w:rPr>
        <w:t xml:space="preserve"> </w:t>
      </w:r>
      <w:r w:rsidR="007A30EA">
        <w:rPr>
          <w:spacing w:val="-6"/>
          <w:sz w:val="22"/>
          <w:szCs w:val="22"/>
        </w:rPr>
        <w:t xml:space="preserve">the </w:t>
      </w:r>
      <w:r>
        <w:rPr>
          <w:sz w:val="22"/>
          <w:szCs w:val="22"/>
        </w:rPr>
        <w:t>date</w:t>
      </w:r>
      <w:r>
        <w:rPr>
          <w:spacing w:val="-7"/>
          <w:sz w:val="22"/>
          <w:szCs w:val="22"/>
        </w:rPr>
        <w:t xml:space="preserve"> </w:t>
      </w:r>
      <w:r>
        <w:rPr>
          <w:sz w:val="22"/>
          <w:szCs w:val="22"/>
        </w:rPr>
        <w:t>of</w:t>
      </w:r>
      <w:r>
        <w:rPr>
          <w:spacing w:val="-4"/>
          <w:sz w:val="22"/>
          <w:szCs w:val="22"/>
        </w:rPr>
        <w:t xml:space="preserve"> </w:t>
      </w:r>
      <w:r>
        <w:rPr>
          <w:sz w:val="22"/>
          <w:szCs w:val="22"/>
        </w:rPr>
        <w:t>Ministerial appointment to 30 June</w:t>
      </w:r>
      <w:r>
        <w:rPr>
          <w:spacing w:val="-12"/>
          <w:sz w:val="22"/>
          <w:szCs w:val="22"/>
        </w:rPr>
        <w:t xml:space="preserve"> </w:t>
      </w:r>
      <w:r>
        <w:rPr>
          <w:sz w:val="22"/>
          <w:szCs w:val="22"/>
        </w:rPr>
        <w:t>2022.</w:t>
      </w:r>
    </w:p>
    <w:p w14:paraId="57DCBFE0" w14:textId="15E5639D" w:rsidR="00B5790C" w:rsidRDefault="00B5790C" w:rsidP="008846ED">
      <w:pPr>
        <w:pStyle w:val="ListParagraph"/>
        <w:numPr>
          <w:ilvl w:val="0"/>
          <w:numId w:val="1"/>
        </w:numPr>
        <w:tabs>
          <w:tab w:val="left" w:pos="567"/>
        </w:tabs>
        <w:kinsoku w:val="0"/>
        <w:overflowPunct w:val="0"/>
        <w:spacing w:before="360"/>
        <w:ind w:left="567" w:hanging="567"/>
        <w:rPr>
          <w:i/>
          <w:iCs/>
          <w:sz w:val="22"/>
          <w:szCs w:val="22"/>
        </w:rPr>
      </w:pPr>
      <w:r>
        <w:rPr>
          <w:i/>
          <w:iCs/>
          <w:sz w:val="22"/>
          <w:szCs w:val="22"/>
          <w:u w:val="single"/>
        </w:rPr>
        <w:t>Attachments</w:t>
      </w:r>
    </w:p>
    <w:p w14:paraId="53EF93BF" w14:textId="77777777" w:rsidR="00B5790C" w:rsidRDefault="00B5790C" w:rsidP="008846ED">
      <w:pPr>
        <w:pStyle w:val="ListParagraph"/>
        <w:numPr>
          <w:ilvl w:val="0"/>
          <w:numId w:val="2"/>
        </w:numPr>
        <w:tabs>
          <w:tab w:val="left" w:pos="993"/>
        </w:tabs>
        <w:kinsoku w:val="0"/>
        <w:overflowPunct w:val="0"/>
        <w:spacing w:before="120"/>
        <w:rPr>
          <w:sz w:val="22"/>
          <w:szCs w:val="22"/>
        </w:rPr>
      </w:pPr>
      <w:r>
        <w:rPr>
          <w:sz w:val="22"/>
          <w:szCs w:val="22"/>
        </w:rPr>
        <w:t>Nil.</w:t>
      </w:r>
    </w:p>
    <w:sectPr w:rsidR="00B5790C" w:rsidSect="00770380">
      <w:headerReference w:type="default" r:id="rId10"/>
      <w:type w:val="continuous"/>
      <w:pgSz w:w="11907" w:h="16840" w:code="9"/>
      <w:pgMar w:top="1134" w:right="1134"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E3EF" w14:textId="77777777" w:rsidR="00604D61" w:rsidRDefault="00604D61" w:rsidP="00770380">
      <w:r>
        <w:separator/>
      </w:r>
    </w:p>
  </w:endnote>
  <w:endnote w:type="continuationSeparator" w:id="0">
    <w:p w14:paraId="00F19616" w14:textId="77777777" w:rsidR="00604D61" w:rsidRDefault="00604D61" w:rsidP="0077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75D7" w14:textId="77777777" w:rsidR="00604D61" w:rsidRDefault="00604D61" w:rsidP="00770380">
      <w:r>
        <w:separator/>
      </w:r>
    </w:p>
  </w:footnote>
  <w:footnote w:type="continuationSeparator" w:id="0">
    <w:p w14:paraId="771C90A3" w14:textId="77777777" w:rsidR="00604D61" w:rsidRDefault="00604D61" w:rsidP="0077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1DEB" w14:textId="77777777" w:rsidR="00770380" w:rsidRPr="00937A4A" w:rsidRDefault="00770380" w:rsidP="00770380">
    <w:pPr>
      <w:pBdr>
        <w:top w:val="thinThickLargeGap" w:sz="24" w:space="4" w:color="auto"/>
        <w:left w:val="thinThickLargeGap" w:sz="24" w:space="4" w:color="auto"/>
        <w:bottom w:val="thickThinLargeGap" w:sz="24" w:space="4" w:color="auto"/>
        <w:right w:val="thickThinLargeGap" w:sz="24" w:space="4" w:color="auto"/>
      </w:pBdr>
      <w:jc w:val="center"/>
      <w:rPr>
        <w:b/>
        <w:sz w:val="28"/>
        <w:szCs w:val="22"/>
        <w:lang w:eastAsia="en-US"/>
      </w:rPr>
    </w:pPr>
    <w:r w:rsidRPr="00937A4A">
      <w:rPr>
        <w:b/>
        <w:sz w:val="28"/>
        <w:szCs w:val="22"/>
        <w:lang w:eastAsia="en-US"/>
      </w:rPr>
      <w:t>Queensland Government</w:t>
    </w:r>
  </w:p>
  <w:p w14:paraId="4CB57246" w14:textId="77777777" w:rsidR="00770380" w:rsidRPr="00937A4A" w:rsidRDefault="00770380" w:rsidP="0077038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szCs w:val="22"/>
        <w:u w:val="single"/>
        <w:lang w:eastAsia="en-US"/>
      </w:rPr>
    </w:pPr>
  </w:p>
  <w:p w14:paraId="67EDC038" w14:textId="6E527778" w:rsidR="00770380" w:rsidRPr="00937A4A" w:rsidRDefault="00770380" w:rsidP="0077038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sz w:val="22"/>
        <w:szCs w:val="22"/>
        <w:lang w:eastAsia="en-US"/>
      </w:rPr>
    </w:pPr>
    <w:r w:rsidRPr="00937A4A">
      <w:rPr>
        <w:b/>
        <w:sz w:val="22"/>
        <w:szCs w:val="22"/>
        <w:lang w:eastAsia="en-US"/>
      </w:rPr>
      <w:t xml:space="preserve">Cabinet – </w:t>
    </w:r>
    <w:r>
      <w:rPr>
        <w:b/>
        <w:sz w:val="22"/>
        <w:szCs w:val="22"/>
        <w:lang w:eastAsia="en-US"/>
      </w:rPr>
      <w:t>June 2019</w:t>
    </w:r>
  </w:p>
  <w:p w14:paraId="26F4078D" w14:textId="1E8BF1FC" w:rsidR="00770380" w:rsidRDefault="00770380" w:rsidP="00770380">
    <w:pPr>
      <w:pStyle w:val="Header"/>
      <w:spacing w:before="120"/>
      <w:rPr>
        <w:b/>
        <w:sz w:val="22"/>
        <w:szCs w:val="22"/>
        <w:u w:val="single"/>
      </w:rPr>
    </w:pPr>
    <w:r>
      <w:rPr>
        <w:b/>
        <w:sz w:val="22"/>
        <w:szCs w:val="22"/>
        <w:u w:val="single"/>
      </w:rPr>
      <w:t>Appointment of the Independent Chair and two State appointed Directors to the Board of Brisbane Housing Company Limited</w:t>
    </w:r>
  </w:p>
  <w:p w14:paraId="7AD27294" w14:textId="5A22F7EB" w:rsidR="00770380" w:rsidRDefault="00770380" w:rsidP="00770380">
    <w:pPr>
      <w:pStyle w:val="Header"/>
      <w:spacing w:before="120"/>
      <w:rPr>
        <w:b/>
        <w:sz w:val="22"/>
        <w:szCs w:val="22"/>
        <w:u w:val="single"/>
      </w:rPr>
    </w:pPr>
    <w:r>
      <w:rPr>
        <w:b/>
        <w:sz w:val="22"/>
        <w:szCs w:val="22"/>
        <w:u w:val="single"/>
      </w:rPr>
      <w:t>Minister for Housing and Public Works, Minister for Digital Technology and Minister for Sport</w:t>
    </w:r>
  </w:p>
  <w:p w14:paraId="7682871B" w14:textId="77777777" w:rsidR="00770380" w:rsidRDefault="00770380" w:rsidP="0077038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E4B6B13A"/>
    <w:lvl w:ilvl="0">
      <w:start w:val="1"/>
      <w:numFmt w:val="decimal"/>
      <w:lvlText w:val="%1."/>
      <w:lvlJc w:val="left"/>
      <w:pPr>
        <w:ind w:left="760" w:hanging="428"/>
      </w:pPr>
      <w:rPr>
        <w:rFonts w:ascii="Arial" w:hAnsi="Arial" w:cs="Arial"/>
        <w:b w:val="0"/>
        <w:bCs w:val="0"/>
        <w:i w:val="0"/>
        <w:spacing w:val="-1"/>
        <w:w w:val="100"/>
        <w:sz w:val="22"/>
        <w:szCs w:val="22"/>
      </w:rPr>
    </w:lvl>
    <w:lvl w:ilvl="1">
      <w:numFmt w:val="bullet"/>
      <w:lvlText w:val="•"/>
      <w:lvlJc w:val="left"/>
      <w:pPr>
        <w:ind w:left="1610" w:hanging="850"/>
      </w:pPr>
      <w:rPr>
        <w:rFonts w:ascii="Arial" w:hAnsi="Arial"/>
        <w:b w:val="0"/>
        <w:w w:val="100"/>
        <w:sz w:val="22"/>
      </w:rPr>
    </w:lvl>
    <w:lvl w:ilvl="2">
      <w:numFmt w:val="bullet"/>
      <w:lvlText w:val="•"/>
      <w:lvlJc w:val="left"/>
      <w:pPr>
        <w:ind w:left="1620" w:hanging="850"/>
      </w:pPr>
    </w:lvl>
    <w:lvl w:ilvl="3">
      <w:numFmt w:val="bullet"/>
      <w:lvlText w:val="•"/>
      <w:lvlJc w:val="left"/>
      <w:pPr>
        <w:ind w:left="2706" w:hanging="850"/>
      </w:pPr>
    </w:lvl>
    <w:lvl w:ilvl="4">
      <w:numFmt w:val="bullet"/>
      <w:lvlText w:val="•"/>
      <w:lvlJc w:val="left"/>
      <w:pPr>
        <w:ind w:left="3792" w:hanging="850"/>
      </w:pPr>
    </w:lvl>
    <w:lvl w:ilvl="5">
      <w:numFmt w:val="bullet"/>
      <w:lvlText w:val="•"/>
      <w:lvlJc w:val="left"/>
      <w:pPr>
        <w:ind w:left="4879" w:hanging="850"/>
      </w:pPr>
    </w:lvl>
    <w:lvl w:ilvl="6">
      <w:numFmt w:val="bullet"/>
      <w:lvlText w:val="•"/>
      <w:lvlJc w:val="left"/>
      <w:pPr>
        <w:ind w:left="5965" w:hanging="850"/>
      </w:pPr>
    </w:lvl>
    <w:lvl w:ilvl="7">
      <w:numFmt w:val="bullet"/>
      <w:lvlText w:val="•"/>
      <w:lvlJc w:val="left"/>
      <w:pPr>
        <w:ind w:left="7052" w:hanging="850"/>
      </w:pPr>
    </w:lvl>
    <w:lvl w:ilvl="8">
      <w:numFmt w:val="bullet"/>
      <w:lvlText w:val="•"/>
      <w:lvlJc w:val="left"/>
      <w:pPr>
        <w:ind w:left="8138" w:hanging="850"/>
      </w:pPr>
    </w:lvl>
  </w:abstractNum>
  <w:abstractNum w:abstractNumId="1" w15:restartNumberingAfterBreak="0">
    <w:nsid w:val="1C8F47A3"/>
    <w:multiLevelType w:val="hybridMultilevel"/>
    <w:tmpl w:val="0D1EADC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0EA"/>
    <w:rsid w:val="00065AEB"/>
    <w:rsid w:val="0010300C"/>
    <w:rsid w:val="00317321"/>
    <w:rsid w:val="004A19FA"/>
    <w:rsid w:val="004B5E7E"/>
    <w:rsid w:val="00604D61"/>
    <w:rsid w:val="006330F7"/>
    <w:rsid w:val="006D10FA"/>
    <w:rsid w:val="00770380"/>
    <w:rsid w:val="007A30EA"/>
    <w:rsid w:val="008846ED"/>
    <w:rsid w:val="00B5790C"/>
    <w:rsid w:val="00D34E1F"/>
    <w:rsid w:val="00DF73CA"/>
    <w:rsid w:val="00E60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A898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78"/>
      <w:ind w:left="332" w:right="327"/>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pPr>
      <w:ind w:left="1610" w:hanging="852"/>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770380"/>
    <w:pPr>
      <w:tabs>
        <w:tab w:val="center" w:pos="4513"/>
        <w:tab w:val="right" w:pos="9026"/>
      </w:tabs>
    </w:pPr>
  </w:style>
  <w:style w:type="character" w:customStyle="1" w:styleId="HeaderChar">
    <w:name w:val="Header Char"/>
    <w:link w:val="Header"/>
    <w:uiPriority w:val="99"/>
    <w:rsid w:val="00770380"/>
    <w:rPr>
      <w:rFonts w:ascii="Arial" w:hAnsi="Arial" w:cs="Arial"/>
      <w:sz w:val="24"/>
      <w:szCs w:val="24"/>
    </w:rPr>
  </w:style>
  <w:style w:type="paragraph" w:styleId="Footer">
    <w:name w:val="footer"/>
    <w:basedOn w:val="Normal"/>
    <w:link w:val="FooterChar"/>
    <w:uiPriority w:val="99"/>
    <w:unhideWhenUsed/>
    <w:rsid w:val="00770380"/>
    <w:pPr>
      <w:tabs>
        <w:tab w:val="center" w:pos="4513"/>
        <w:tab w:val="right" w:pos="9026"/>
      </w:tabs>
    </w:pPr>
  </w:style>
  <w:style w:type="character" w:customStyle="1" w:styleId="FooterChar">
    <w:name w:val="Footer Char"/>
    <w:link w:val="Footer"/>
    <w:uiPriority w:val="99"/>
    <w:rsid w:val="0077038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9E0DF-541A-4989-8B62-694F198EA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F26DA-7C34-453F-96DF-B61CE5B859DA}">
  <ds:schemaRefs>
    <ds:schemaRef ds:uri="http://schemas.microsoft.com/sharepoint/v3/contenttype/forms"/>
  </ds:schemaRefs>
</ds:datastoreItem>
</file>

<file path=customXml/itemProps3.xml><?xml version="1.0" encoding="utf-8"?>
<ds:datastoreItem xmlns:ds="http://schemas.openxmlformats.org/officeDocument/2006/customXml" ds:itemID="{6729E7FC-A99D-4955-BFE4-5B7DDCC8B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1495</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1753</CharactersWithSpaces>
  <SharedDoc>false</SharedDoc>
  <HyperlinkBase>https://www.cabinet.qld.gov.au/documents/2019/Jun/ApptsBHC/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4</cp:revision>
  <dcterms:created xsi:type="dcterms:W3CDTF">2020-06-05T07:01:00Z</dcterms:created>
  <dcterms:modified xsi:type="dcterms:W3CDTF">2020-07-19T21:59:00Z</dcterms:modified>
  <cp:category>Significant_Appointments,Housing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0x010100DDE14CFDD070B24F85F5DE43654FF01E</vt:lpwstr>
  </property>
</Properties>
</file>